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373" w:rsidRDefault="00E62448" w14:paraId="25E43080" w14:textId="33506D27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editId="74663F60" wp14:anchorId="06B54D61">
                <wp:simplePos x="0" y="0"/>
                <wp:positionH relativeFrom="page">
                  <wp:posOffset>1468259</wp:posOffset>
                </wp:positionH>
                <wp:positionV relativeFrom="page">
                  <wp:posOffset>474585</wp:posOffset>
                </wp:positionV>
                <wp:extent cx="1163320" cy="1530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332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373" w:rsidRDefault="005F7373" w14:paraId="119A4E79" w14:textId="3CF7FD75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06B54D61">
                <v:stroke joinstyle="miter"/>
                <v:path gradientshapeok="t" o:connecttype="rect"/>
              </v:shapetype>
              <v:shape id="Textbox 1" style="position:absolute;left:0;text-align:left;margin-left:115.6pt;margin-top:37.35pt;width:91.6pt;height:12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">
                <v:textbox inset="0,0,0,0">
                  <w:txbxContent>
                    <w:p w:rsidR="005F7373" w:rsidRDefault="005F7373" w14:paraId="119A4E79" w14:textId="3CF7FD75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E5395"/>
          <w:spacing w:val="-2"/>
        </w:rPr>
        <w:t>Annex</w:t>
      </w:r>
      <w:r>
        <w:rPr>
          <w:color w:val="2E5395"/>
          <w:spacing w:val="-17"/>
        </w:rPr>
        <w:t xml:space="preserve"> </w:t>
      </w:r>
      <w:r>
        <w:rPr>
          <w:color w:val="2E5395"/>
          <w:spacing w:val="-2"/>
        </w:rPr>
        <w:t>11</w:t>
      </w:r>
      <w:r>
        <w:rPr>
          <w:color w:val="2E5395"/>
          <w:spacing w:val="42"/>
        </w:rPr>
        <w:t xml:space="preserve"> </w:t>
      </w:r>
      <w:r>
        <w:rPr>
          <w:color w:val="2E5395"/>
          <w:spacing w:val="-2"/>
        </w:rPr>
        <w:t>Additional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2"/>
        </w:rPr>
        <w:t>documentation</w:t>
      </w:r>
      <w:r>
        <w:rPr>
          <w:color w:val="2E5395"/>
          <w:spacing w:val="-16"/>
        </w:rPr>
        <w:t xml:space="preserve"> </w:t>
      </w:r>
      <w:r>
        <w:rPr>
          <w:color w:val="2E5395"/>
          <w:spacing w:val="-2"/>
        </w:rPr>
        <w:t>regarding</w:t>
      </w:r>
      <w:r>
        <w:rPr>
          <w:color w:val="2E5395"/>
          <w:spacing w:val="-16"/>
        </w:rPr>
        <w:t xml:space="preserve"> </w:t>
      </w:r>
      <w:r>
        <w:rPr>
          <w:color w:val="2E5395"/>
          <w:spacing w:val="-2"/>
        </w:rPr>
        <w:t>apprenticeships</w:t>
      </w:r>
    </w:p>
    <w:p w:rsidR="005F7373" w:rsidRDefault="00E62448" w14:paraId="3E256648" w14:textId="77777777">
      <w:pPr>
        <w:pStyle w:val="BodyText"/>
        <w:spacing w:before="293" w:line="256" w:lineRule="auto"/>
        <w:ind w:left="100"/>
      </w:pP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programmes</w:t>
      </w:r>
      <w:r>
        <w:rPr>
          <w:spacing w:val="-3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Apprenticeships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PRR-PDR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 additional documentation:</w:t>
      </w:r>
    </w:p>
    <w:p w:rsidR="005F7373" w:rsidRDefault="005F7373" w14:paraId="3BD1B272" w14:textId="77777777">
      <w:pPr>
        <w:pStyle w:val="BodyText"/>
        <w:ind w:left="0"/>
      </w:pPr>
    </w:p>
    <w:p w:rsidR="005F7373" w:rsidRDefault="005F7373" w14:paraId="76B79488" w14:textId="77777777">
      <w:pPr>
        <w:pStyle w:val="BodyText"/>
        <w:spacing w:before="10"/>
        <w:ind w:left="0"/>
      </w:pPr>
    </w:p>
    <w:p w:rsidR="005F7373" w:rsidRDefault="00E62448" w14:paraId="7BCA0C6E" w14:textId="77777777">
      <w:pPr>
        <w:pStyle w:val="ListParagraph"/>
        <w:numPr>
          <w:ilvl w:val="0"/>
          <w:numId w:val="1"/>
        </w:numPr>
        <w:tabs>
          <w:tab w:val="left" w:pos="808"/>
        </w:tabs>
        <w:ind w:right="220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proposed</w:t>
      </w:r>
      <w:r>
        <w:rPr>
          <w:spacing w:val="-5"/>
          <w:sz w:val="24"/>
        </w:rPr>
        <w:t xml:space="preserve"> </w:t>
      </w:r>
      <w:r>
        <w:rPr>
          <w:sz w:val="24"/>
        </w:rPr>
        <w:t>higher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degree</w:t>
      </w:r>
      <w:r>
        <w:rPr>
          <w:spacing w:val="-3"/>
          <w:sz w:val="24"/>
        </w:rPr>
        <w:t xml:space="preserve"> </w:t>
      </w:r>
      <w:r>
        <w:rPr>
          <w:sz w:val="24"/>
        </w:rPr>
        <w:t>apprenticeships*,</w:t>
      </w:r>
      <w:r>
        <w:rPr>
          <w:spacing w:val="-6"/>
          <w:sz w:val="24"/>
        </w:rPr>
        <w:t xml:space="preserve"> </w:t>
      </w:r>
      <w:r>
        <w:rPr>
          <w:sz w:val="24"/>
        </w:rPr>
        <w:t>using exact title(s) together with the target qualifications;</w:t>
      </w:r>
    </w:p>
    <w:p w:rsidR="005F7373" w:rsidRDefault="00E62448" w14:paraId="114BCEE0" w14:textId="77777777">
      <w:pPr>
        <w:pStyle w:val="ListParagraph"/>
        <w:numPr>
          <w:ilvl w:val="0"/>
          <w:numId w:val="1"/>
        </w:numPr>
        <w:tabs>
          <w:tab w:val="left" w:pos="808"/>
        </w:tabs>
        <w:spacing w:before="2"/>
        <w:ind w:right="1721"/>
        <w:rPr>
          <w:sz w:val="24"/>
        </w:rPr>
      </w:pPr>
      <w:r>
        <w:rPr>
          <w:sz w:val="24"/>
        </w:rPr>
        <w:t>Relevant</w:t>
      </w:r>
      <w:r>
        <w:rPr>
          <w:spacing w:val="-7"/>
          <w:sz w:val="24"/>
        </w:rPr>
        <w:t xml:space="preserve"> </w:t>
      </w:r>
      <w:r>
        <w:rPr>
          <w:sz w:val="24"/>
        </w:rPr>
        <w:t>IfATE</w:t>
      </w:r>
      <w:r>
        <w:rPr>
          <w:spacing w:val="-7"/>
          <w:sz w:val="24"/>
        </w:rPr>
        <w:t xml:space="preserve"> </w:t>
      </w:r>
      <w:r>
        <w:rPr>
          <w:sz w:val="24"/>
        </w:rPr>
        <w:t>Apprenticeship</w:t>
      </w:r>
      <w:r>
        <w:rPr>
          <w:spacing w:val="-7"/>
          <w:sz w:val="24"/>
        </w:rPr>
        <w:t xml:space="preserve"> </w:t>
      </w:r>
      <w:r>
        <w:rPr>
          <w:sz w:val="24"/>
        </w:rPr>
        <w:t>Standards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End</w:t>
      </w:r>
      <w:r>
        <w:rPr>
          <w:spacing w:val="-5"/>
          <w:sz w:val="24"/>
        </w:rPr>
        <w:t xml:space="preserve"> </w:t>
      </w:r>
      <w:r>
        <w:rPr>
          <w:sz w:val="24"/>
        </w:rPr>
        <w:t>Point</w:t>
      </w:r>
      <w:r>
        <w:rPr>
          <w:spacing w:val="-7"/>
          <w:sz w:val="24"/>
        </w:rPr>
        <w:t xml:space="preserve"> </w:t>
      </w:r>
      <w:r>
        <w:rPr>
          <w:sz w:val="24"/>
        </w:rPr>
        <w:t>Assessment Plan for the Standard (which shows if integrated or not and how assessed</w:t>
      </w:r>
      <w:proofErr w:type="gramStart"/>
      <w:r>
        <w:rPr>
          <w:sz w:val="24"/>
        </w:rPr>
        <w:t>) ;</w:t>
      </w:r>
      <w:proofErr w:type="gramEnd"/>
    </w:p>
    <w:p w:rsidR="005F7373" w:rsidRDefault="00E62448" w14:paraId="244C250B" w14:textId="77777777">
      <w:pPr>
        <w:pStyle w:val="ListParagraph"/>
        <w:numPr>
          <w:ilvl w:val="0"/>
          <w:numId w:val="1"/>
        </w:numPr>
        <w:tabs>
          <w:tab w:val="left" w:pos="808"/>
        </w:tabs>
        <w:spacing w:before="4" w:line="305" w:lineRule="exact"/>
        <w:rPr>
          <w:sz w:val="24"/>
        </w:rPr>
      </w:pPr>
      <w:r>
        <w:rPr>
          <w:sz w:val="24"/>
        </w:rPr>
        <w:t>Gateway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Requirements;</w:t>
      </w:r>
    </w:p>
    <w:p w:rsidR="005F7373" w:rsidRDefault="00E62448" w14:paraId="1835DD48" w14:textId="77777777">
      <w:pPr>
        <w:pStyle w:val="ListParagraph"/>
        <w:numPr>
          <w:ilvl w:val="0"/>
          <w:numId w:val="1"/>
        </w:numPr>
        <w:tabs>
          <w:tab w:val="left" w:pos="808"/>
        </w:tabs>
        <w:ind w:right="439"/>
        <w:rPr>
          <w:sz w:val="24"/>
        </w:rPr>
      </w:pPr>
      <w:r>
        <w:rPr>
          <w:sz w:val="24"/>
        </w:rPr>
        <w:t>Curriculum</w:t>
      </w:r>
      <w:r>
        <w:rPr>
          <w:spacing w:val="-6"/>
          <w:sz w:val="24"/>
        </w:rPr>
        <w:t xml:space="preserve"> </w:t>
      </w:r>
      <w:r>
        <w:rPr>
          <w:sz w:val="24"/>
        </w:rPr>
        <w:t>Mapping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IfATE</w:t>
      </w:r>
      <w:r>
        <w:rPr>
          <w:spacing w:val="-4"/>
          <w:sz w:val="24"/>
        </w:rPr>
        <w:t xml:space="preserve"> </w:t>
      </w:r>
      <w:r>
        <w:rPr>
          <w:sz w:val="24"/>
        </w:rPr>
        <w:t>Apprenticeship</w:t>
      </w:r>
      <w:r>
        <w:rPr>
          <w:spacing w:val="-5"/>
          <w:sz w:val="24"/>
        </w:rPr>
        <w:t xml:space="preserve"> </w:t>
      </w:r>
      <w:r>
        <w:rPr>
          <w:sz w:val="24"/>
        </w:rPr>
        <w:t>Standard</w:t>
      </w:r>
      <w:r>
        <w:rPr>
          <w:spacing w:val="-6"/>
          <w:sz w:val="24"/>
        </w:rPr>
        <w:t xml:space="preserve"> </w:t>
      </w:r>
      <w:r>
        <w:rPr>
          <w:sz w:val="24"/>
        </w:rPr>
        <w:t>(Template</w:t>
      </w:r>
      <w:r>
        <w:rPr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PDR);</w:t>
      </w:r>
    </w:p>
    <w:p w:rsidRPr="008951AC" w:rsidR="005F7373" w:rsidRDefault="00E62448" w14:paraId="6576D52B" w14:textId="288285BA">
      <w:pPr>
        <w:pStyle w:val="ListParagraph"/>
        <w:numPr>
          <w:ilvl w:val="0"/>
          <w:numId w:val="1"/>
        </w:numPr>
        <w:tabs>
          <w:tab w:val="left" w:pos="808"/>
        </w:tabs>
        <w:ind w:right="102"/>
        <w:rPr>
          <w:sz w:val="24"/>
          <w:szCs w:val="24"/>
        </w:rPr>
      </w:pPr>
      <w:r w:rsidRPr="008951AC">
        <w:rPr>
          <w:sz w:val="24"/>
          <w:szCs w:val="24"/>
        </w:rPr>
        <w:t xml:space="preserve">For integrated and partially integrated programmes </w:t>
      </w:r>
      <w:r w:rsidRPr="008951AC" w:rsidR="008951AC">
        <w:rPr>
          <w:sz w:val="24"/>
          <w:szCs w:val="24"/>
        </w:rPr>
        <w:t xml:space="preserve">there has been an application to the </w:t>
      </w:r>
      <w:r w:rsidRPr="008951AC" w:rsidR="008951AC">
        <w:rPr>
          <w:spacing w:val="-3"/>
          <w:sz w:val="24"/>
          <w:szCs w:val="24"/>
        </w:rPr>
        <w:t>Apprenticeship</w:t>
      </w:r>
      <w:r w:rsidRPr="008951AC" w:rsidR="008951AC">
        <w:rPr>
          <w:sz w:val="24"/>
          <w:szCs w:val="24"/>
        </w:rPr>
        <w:t xml:space="preserve"> Providers and Assessment Register (APAR). If the award is integrated, it’s the second part of the new register, which </w:t>
      </w:r>
      <w:r w:rsidRPr="008951AC" w:rsidR="008951AC">
        <w:rPr>
          <w:sz w:val="24"/>
          <w:szCs w:val="24"/>
        </w:rPr>
        <w:t>UoB</w:t>
      </w:r>
      <w:r w:rsidRPr="008951AC" w:rsidR="008951AC">
        <w:rPr>
          <w:sz w:val="24"/>
          <w:szCs w:val="24"/>
        </w:rPr>
        <w:t xml:space="preserve"> need to be on, for which the application process has been simplified and shouldn’t take any longer than 10 working days to achieve</w:t>
      </w:r>
      <w:r w:rsidRPr="008951AC">
        <w:rPr>
          <w:sz w:val="24"/>
          <w:szCs w:val="24"/>
        </w:rPr>
        <w:t xml:space="preserve"> (Assistance from Apprenticeship Team),</w:t>
      </w:r>
    </w:p>
    <w:p w:rsidR="005F7373" w:rsidRDefault="00E62448" w14:paraId="1ADCAD70" w14:textId="77777777">
      <w:pPr>
        <w:pStyle w:val="ListParagraph"/>
        <w:numPr>
          <w:ilvl w:val="0"/>
          <w:numId w:val="1"/>
        </w:numPr>
        <w:tabs>
          <w:tab w:val="left" w:pos="808"/>
        </w:tabs>
        <w:spacing w:line="305" w:lineRule="exact"/>
        <w:rPr>
          <w:sz w:val="24"/>
        </w:rPr>
      </w:pPr>
      <w:r>
        <w:rPr>
          <w:sz w:val="24"/>
        </w:rPr>
        <w:t>Apprenticeship</w:t>
      </w:r>
      <w:r>
        <w:rPr>
          <w:spacing w:val="-10"/>
          <w:sz w:val="24"/>
        </w:rPr>
        <w:t xml:space="preserve"> </w:t>
      </w:r>
      <w:r>
        <w:rPr>
          <w:sz w:val="24"/>
        </w:rPr>
        <w:t>Employer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Handbook</w:t>
      </w:r>
    </w:p>
    <w:p w:rsidR="005F7373" w:rsidRDefault="00E62448" w14:paraId="1EF65ADC" w14:textId="77777777">
      <w:pPr>
        <w:pStyle w:val="ListParagraph"/>
        <w:numPr>
          <w:ilvl w:val="0"/>
          <w:numId w:val="1"/>
        </w:numPr>
        <w:tabs>
          <w:tab w:val="left" w:pos="808"/>
        </w:tabs>
        <w:spacing w:line="305" w:lineRule="exact"/>
        <w:rPr>
          <w:sz w:val="24"/>
        </w:rPr>
      </w:pPr>
      <w:r>
        <w:rPr>
          <w:sz w:val="24"/>
        </w:rPr>
        <w:t>Apprenticeship</w:t>
      </w:r>
      <w:r>
        <w:rPr>
          <w:spacing w:val="-7"/>
          <w:sz w:val="24"/>
        </w:rPr>
        <w:t xml:space="preserve"> </w:t>
      </w:r>
      <w:r>
        <w:rPr>
          <w:sz w:val="24"/>
        </w:rPr>
        <w:t>Programme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Handbook</w:t>
      </w:r>
    </w:p>
    <w:p w:rsidR="005F7373" w:rsidRDefault="005F7373" w14:paraId="6C087419" w14:textId="77777777">
      <w:pPr>
        <w:pStyle w:val="BodyText"/>
        <w:ind w:left="0"/>
      </w:pPr>
    </w:p>
    <w:p w:rsidR="005F7373" w:rsidRDefault="005F7373" w14:paraId="1B5ADC8B" w14:textId="77777777">
      <w:pPr>
        <w:pStyle w:val="BodyText"/>
        <w:spacing w:before="2"/>
        <w:ind w:left="0"/>
      </w:pPr>
    </w:p>
    <w:p w:rsidR="005F7373" w:rsidRDefault="00E62448" w14:paraId="07CB84E9" w14:textId="77777777">
      <w:pPr>
        <w:pStyle w:val="BodyText"/>
        <w:ind w:left="100"/>
      </w:pPr>
      <w:r>
        <w:rPr>
          <w:u w:val="single"/>
        </w:rPr>
        <w:t>Note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IfATE</w:t>
      </w:r>
      <w:r>
        <w:rPr>
          <w:spacing w:val="-2"/>
          <w:u w:val="single"/>
        </w:rPr>
        <w:t xml:space="preserve"> </w:t>
      </w:r>
      <w:r>
        <w:rPr>
          <w:u w:val="single"/>
        </w:rPr>
        <w:t>Apprenticeship</w:t>
      </w:r>
      <w:r>
        <w:rPr>
          <w:spacing w:val="-2"/>
          <w:u w:val="single"/>
        </w:rPr>
        <w:t xml:space="preserve"> </w:t>
      </w:r>
      <w:r>
        <w:rPr>
          <w:u w:val="single"/>
        </w:rPr>
        <w:t>Standard</w:t>
      </w:r>
      <w:r>
        <w:rPr>
          <w:spacing w:val="-4"/>
          <w:u w:val="single"/>
        </w:rPr>
        <w:t xml:space="preserve"> </w:t>
      </w:r>
      <w:r>
        <w:rPr>
          <w:u w:val="single"/>
        </w:rPr>
        <w:t>will</w:t>
      </w:r>
      <w:r>
        <w:rPr>
          <w:spacing w:val="-3"/>
          <w:u w:val="single"/>
        </w:rPr>
        <w:t xml:space="preserve"> </w:t>
      </w:r>
      <w:r>
        <w:rPr>
          <w:u w:val="single"/>
        </w:rPr>
        <w:t>determine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EPA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are</w:t>
      </w:r>
      <w:r>
        <w:rPr>
          <w:spacing w:val="-6"/>
          <w:u w:val="single"/>
        </w:rPr>
        <w:t xml:space="preserve"> </w:t>
      </w:r>
      <w:r>
        <w:rPr>
          <w:u w:val="single"/>
        </w:rPr>
        <w:t>categorised</w:t>
      </w:r>
      <w:r>
        <w:rPr>
          <w:spacing w:val="-2"/>
          <w:u w:val="single"/>
        </w:rPr>
        <w:t xml:space="preserve"> </w:t>
      </w:r>
      <w:r>
        <w:rPr>
          <w:u w:val="single"/>
        </w:rPr>
        <w:t>as</w:t>
      </w:r>
      <w:r>
        <w:t xml:space="preserve"> </w:t>
      </w:r>
      <w:r>
        <w:rPr>
          <w:spacing w:val="-2"/>
          <w:u w:val="single"/>
        </w:rPr>
        <w:t>follow:</w:t>
      </w:r>
    </w:p>
    <w:p w:rsidR="005F7373" w:rsidRDefault="00E62448" w14:paraId="25B68BE7" w14:textId="77777777">
      <w:pPr>
        <w:pStyle w:val="BodyText"/>
        <w:spacing w:before="292"/>
        <w:ind w:left="100"/>
      </w:pPr>
      <w:r>
        <w:rPr>
          <w:u w:val="single"/>
        </w:rPr>
        <w:t>Fully</w:t>
      </w:r>
      <w:r>
        <w:rPr>
          <w:spacing w:val="-3"/>
          <w:u w:val="single"/>
        </w:rPr>
        <w:t xml:space="preserve"> </w:t>
      </w:r>
      <w:r>
        <w:rPr>
          <w:u w:val="single"/>
        </w:rPr>
        <w:t>integrated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EPA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credits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(</w:t>
      </w:r>
      <w:proofErr w:type="gramStart"/>
      <w:r>
        <w:t>eg</w:t>
      </w:r>
      <w:proofErr w:type="gramEnd"/>
      <w:r>
        <w:rPr>
          <w:spacing w:val="-6"/>
        </w:rPr>
        <w:t xml:space="preserve"> </w:t>
      </w:r>
      <w:r>
        <w:t>BSc (Hons) Digital Technology)</w:t>
      </w:r>
    </w:p>
    <w:p w:rsidR="005F7373" w:rsidRDefault="00E62448" w14:paraId="6721EBAA" w14:textId="77777777">
      <w:pPr>
        <w:pStyle w:val="BodyText"/>
        <w:ind w:left="100"/>
      </w:pPr>
      <w:r>
        <w:rPr>
          <w:u w:val="single"/>
        </w:rPr>
        <w:t>Partially</w:t>
      </w:r>
      <w:r>
        <w:rPr>
          <w:spacing w:val="-3"/>
          <w:u w:val="single"/>
        </w:rPr>
        <w:t xml:space="preserve"> </w:t>
      </w:r>
      <w:r>
        <w:rPr>
          <w:u w:val="single"/>
        </w:rPr>
        <w:t>integrated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assessor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EPA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credits</w:t>
      </w:r>
      <w:r>
        <w:rPr>
          <w:spacing w:val="-5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(</w:t>
      </w:r>
      <w:proofErr w:type="gramStart"/>
      <w:r>
        <w:t>eg</w:t>
      </w:r>
      <w:proofErr w:type="gramEnd"/>
      <w:r>
        <w:rPr>
          <w:spacing w:val="-3"/>
        </w:rPr>
        <w:t xml:space="preserve"> </w:t>
      </w:r>
      <w:r>
        <w:t>MSc Advanced Clinical Practitioner)</w:t>
      </w:r>
    </w:p>
    <w:p w:rsidR="005F7373" w:rsidRDefault="00E62448" w14:paraId="1B5AD54B" w14:textId="77777777">
      <w:pPr>
        <w:pStyle w:val="BodyText"/>
        <w:ind w:left="100"/>
      </w:pPr>
      <w:r>
        <w:rPr>
          <w:u w:val="single"/>
        </w:rPr>
        <w:t>Non-integrated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EPA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t>third</w:t>
      </w:r>
      <w:r>
        <w:rPr>
          <w:spacing w:val="-4"/>
        </w:rPr>
        <w:t xml:space="preserve"> </w:t>
      </w:r>
      <w:r>
        <w:t>party</w:t>
      </w:r>
      <w:proofErr w:type="gramEnd"/>
      <w:r>
        <w:rPr>
          <w:spacing w:val="-3"/>
        </w:rPr>
        <w:t xml:space="preserve"> </w:t>
      </w:r>
      <w:r>
        <w:t>organisation</w:t>
      </w:r>
      <w:r>
        <w:rPr>
          <w:spacing w:val="-2"/>
        </w:rPr>
        <w:t xml:space="preserve"> </w:t>
      </w:r>
      <w:r>
        <w:t>(eg</w:t>
      </w:r>
      <w:r>
        <w:rPr>
          <w:spacing w:val="-3"/>
        </w:rPr>
        <w:t xml:space="preserve"> </w:t>
      </w:r>
      <w:r>
        <w:t>BEng</w:t>
      </w:r>
      <w:r>
        <w:rPr>
          <w:spacing w:val="-5"/>
        </w:rPr>
        <w:t xml:space="preserve"> </w:t>
      </w:r>
      <w:r>
        <w:t>(Hons)</w:t>
      </w:r>
      <w:r>
        <w:rPr>
          <w:spacing w:val="-4"/>
        </w:rPr>
        <w:t xml:space="preserve"> </w:t>
      </w:r>
      <w:r>
        <w:t xml:space="preserve">Civil </w:t>
      </w:r>
      <w:r>
        <w:rPr>
          <w:spacing w:val="-2"/>
        </w:rPr>
        <w:t>Engineering)</w:t>
      </w:r>
    </w:p>
    <w:sectPr w:rsidR="005F7373">
      <w:type w:val="continuous"/>
      <w:pgSz w:w="11910" w:h="16840"/>
      <w:pgMar w:top="14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811"/>
    <w:multiLevelType w:val="hybridMultilevel"/>
    <w:tmpl w:val="7BA84996"/>
    <w:lvl w:ilvl="0" w:tplc="68D893D0">
      <w:numFmt w:val="bullet"/>
      <w:lvlText w:val=""/>
      <w:lvlJc w:val="left"/>
      <w:pPr>
        <w:ind w:left="80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F86A3AC">
      <w:numFmt w:val="bullet"/>
      <w:lvlText w:val="•"/>
      <w:lvlJc w:val="left"/>
      <w:pPr>
        <w:ind w:left="1638" w:hanging="425"/>
      </w:pPr>
      <w:rPr>
        <w:rFonts w:hint="default"/>
        <w:lang w:val="en-US" w:eastAsia="en-US" w:bidi="ar-SA"/>
      </w:rPr>
    </w:lvl>
    <w:lvl w:ilvl="2" w:tplc="73BC8C68">
      <w:numFmt w:val="bullet"/>
      <w:lvlText w:val="•"/>
      <w:lvlJc w:val="left"/>
      <w:pPr>
        <w:ind w:left="2477" w:hanging="425"/>
      </w:pPr>
      <w:rPr>
        <w:rFonts w:hint="default"/>
        <w:lang w:val="en-US" w:eastAsia="en-US" w:bidi="ar-SA"/>
      </w:rPr>
    </w:lvl>
    <w:lvl w:ilvl="3" w:tplc="06DC872E">
      <w:numFmt w:val="bullet"/>
      <w:lvlText w:val="•"/>
      <w:lvlJc w:val="left"/>
      <w:pPr>
        <w:ind w:left="3315" w:hanging="425"/>
      </w:pPr>
      <w:rPr>
        <w:rFonts w:hint="default"/>
        <w:lang w:val="en-US" w:eastAsia="en-US" w:bidi="ar-SA"/>
      </w:rPr>
    </w:lvl>
    <w:lvl w:ilvl="4" w:tplc="96583540">
      <w:numFmt w:val="bullet"/>
      <w:lvlText w:val="•"/>
      <w:lvlJc w:val="left"/>
      <w:pPr>
        <w:ind w:left="4154" w:hanging="425"/>
      </w:pPr>
      <w:rPr>
        <w:rFonts w:hint="default"/>
        <w:lang w:val="en-US" w:eastAsia="en-US" w:bidi="ar-SA"/>
      </w:rPr>
    </w:lvl>
    <w:lvl w:ilvl="5" w:tplc="5EE87568">
      <w:numFmt w:val="bullet"/>
      <w:lvlText w:val="•"/>
      <w:lvlJc w:val="left"/>
      <w:pPr>
        <w:ind w:left="4993" w:hanging="425"/>
      </w:pPr>
      <w:rPr>
        <w:rFonts w:hint="default"/>
        <w:lang w:val="en-US" w:eastAsia="en-US" w:bidi="ar-SA"/>
      </w:rPr>
    </w:lvl>
    <w:lvl w:ilvl="6" w:tplc="A9E43074">
      <w:numFmt w:val="bullet"/>
      <w:lvlText w:val="•"/>
      <w:lvlJc w:val="left"/>
      <w:pPr>
        <w:ind w:left="5831" w:hanging="425"/>
      </w:pPr>
      <w:rPr>
        <w:rFonts w:hint="default"/>
        <w:lang w:val="en-US" w:eastAsia="en-US" w:bidi="ar-SA"/>
      </w:rPr>
    </w:lvl>
    <w:lvl w:ilvl="7" w:tplc="1AD4B022">
      <w:numFmt w:val="bullet"/>
      <w:lvlText w:val="•"/>
      <w:lvlJc w:val="left"/>
      <w:pPr>
        <w:ind w:left="6670" w:hanging="425"/>
      </w:pPr>
      <w:rPr>
        <w:rFonts w:hint="default"/>
        <w:lang w:val="en-US" w:eastAsia="en-US" w:bidi="ar-SA"/>
      </w:rPr>
    </w:lvl>
    <w:lvl w:ilvl="8" w:tplc="751AF658">
      <w:numFmt w:val="bullet"/>
      <w:lvlText w:val="•"/>
      <w:lvlJc w:val="left"/>
      <w:pPr>
        <w:ind w:left="7509" w:hanging="42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73"/>
    <w:rsid w:val="005F7373"/>
    <w:rsid w:val="008951AC"/>
    <w:rsid w:val="00E6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1AA2"/>
  <w15:docId w15:val="{69BCE708-012A-4404-8890-F0E20731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left="100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08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Birtwistle, Hilary</dc:creator>
  <cp:lastModifiedBy>Hilary Birtwistle</cp:lastModifiedBy>
  <cp:revision>3</cp:revision>
  <dcterms:created xsi:type="dcterms:W3CDTF">2023-10-18T11:00:00Z</dcterms:created>
  <dcterms:modified xsi:type="dcterms:W3CDTF">2023-10-30T12:11:36Z</dcterms:modified>
  <dc:title>PRR 2023-24  Annex 11 Additional documentation reagrding apprenticeships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Word 2016</vt:lpwstr>
  </property>
</Properties>
</file>